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584 vom 31. Oktober 1972</w:t>
      </w:r>
    </w:p>
    <w:p>
      <w:r>
        <w:t>Bundesgericht (BGE), 1972-10-31, FR</w:t>
      </w:r>
    </w:p>
    <w:p>
      <w:r>
        <w:rPr>
          <w:b/>
        </w:rPr>
        <w:t xml:space="preserve">Quelle: </w:t>
      </w:r>
      <w:r>
        <w:t>https://mcp.opencaselaw.ch/entscheid/bge_98 IA 584</w:t>
      </w:r>
    </w:p>
    <w:p>
      <w:r>
        <w:t>FR: BGE 98 IA 584 du 31 octobre 1972</w:t>
      </w:r>
    </w:p>
    <w:p>
      <w:r>
        <w:t>IT: BGE 98 IA 584 del 31 ottobre 1972</w:t>
      </w:r>
    </w:p>
    <w:p>
      <w:pPr>
        <w:pStyle w:val="Heading2"/>
      </w:pPr>
      <w:r>
        <w:t>Regeste</w:t>
      </w:r>
    </w:p>
    <w:p>
      <w:r>
        <w:t>Regeste Art. 88 OG; Beschwerdelegitimation Zur Beschwerde wegen verfassungswidriger Anwendung eines Gesetzes im Einzelfall ist legitimiert, wer eine Verletzung seiner aktuellen - nicht bloss virtuellen - rechtlich geschützten Interessen behauptet (Erw. 1 b). Art. 22ter BV; Eigentumsgarantie 1. Eine vom Bauherrn geforderte zusätzliche Ausgabe von 1 % des Kostenvoranschlags stellt keinen besonders schweren Eingriff ins Eigentum dar. Ob dafür eine genügende gesetzliche Grundlage vorhanden sei, prüft das Bundesgericht deshalb nur unter dem Gesichtswinkel der Willkür (Erw. 2 und 3 a). 2. Die Gesetzesdelegation ist nur zulässig, wenn der Gesetzgeber mindestens Gegenstand, Zweck und Umfang der fraglichen Rechtsetzungsbefugnis im wesentlichen selber umschreibt. Gegen den offenkundig klaren Sinn des Gesetzes können die Materialien in diesem Zusammenhang nicht zur Auslegung herangezogen werden (Erw. 3 d). 3. Kantonale Massnahmen, die darauf abzielen, dem Verbraucher die freie Wahl unter verschiedenen Energieträgern zu gewährleisten, stellen kein unvernünftiges Mittel dar, um die im öffentlichen Interesse liegende Versorgung des Landes mit verschiedenen Energieträgern zu sichern (Erw. 4). 4. Liegt eine materielle Enteignung vor, so ist das Recht auf volle Entschädigung nicht mehr Voraussetzung, sondern Folge einer verfassungsmässigen Eigentumsbeschränkung (Erw. 5).</w:t>
      </w:r>
    </w:p>
    <w:p>
      <w:pPr>
        <w:pStyle w:val="Heading2"/>
      </w:pPr>
      <w:r>
        <w:t>Erwägungen</w:t>
      </w:r>
    </w:p>
    <w:p>
      <w:r>
        <w:rPr>
          <w:b/>
        </w:rPr>
        <w:t>E. 1</w:t>
      </w:r>
    </w:p>
    <w:p>
      <w:r>
        <w:t>Selon les intimées, le recours est irrecevable, dans la mesure où il est fondé sur l'art. 31 Cst., pour défaut de motivation (art. 90 lit.b OJ) et pour absence de qualité pour agir (art. 88 OJ). a) Les recourants se bornent en effet à dire que la mesure attaquée constitue une entrave à la libre exploitation de leur bâtiment et qu'elle a pour but réel la protection des distributeurs d'énergie; ils en déduisent qu'elle viole la h.berté du commerce et de l'industrie. Ils reprennent ainsi les arguments qu'ils ont développés, dans le même recours, à propos de la violation de la garantie de la propriété. Manifestement, ils entendent soutenir que, pour les mêmes raisons, la mesure attaquée viole non seulement la garantie de la propriété, mais aussi la liberté du commerce et de l'industrie. L'exigence de motivation posée par l'art. 90 OJ est donc suffisamment respectée. b) Quant à l'absence de qualité pour agir, les intimées la déduisent du fait que les recourants ne sont ni producteurs, ni distributeurs d'énergie. Avec raison. Certes, la mesure attaquée touche virtuellement les recourants dans leur qualité de bailleurs (ou éventuellement de vendeurs) d'appartements. Toutefois, dès lors que les recourants n'attaquent pas la LCAT comme telle, mais seulement un cas d'application de celle-ci, ils ne possèdent la qualité active que dans la mesure où ils peuvent se prévaloir personnellement du droit sur lequel ils se fondent. En d'autres termes, ils ne seraient habiles à se fonder sur l'art. 31 cst. que s'ils pouvaient arguer d'une atteinte réelle à leur liberté économique. Tel n'est pas le cas, rien ne permettant même de penser que les recourants se trouvent limités d'une façon prohibitive ou discriminatoire dans leurs possibilités de réaliser un gain par le moyen BGE 98 Ia 584 S. 590 des appartements qu'ils construisent. Le recours est partant irrecevable sur le point contesté.</w:t>
      </w:r>
    </w:p>
    <w:p>
      <w:r>
        <w:rPr>
          <w:b/>
        </w:rPr>
        <w:t>E. 2</w:t>
      </w:r>
    </w:p>
    <w:p>
      <w:r>
        <w:t>a) Les recourants soutiennent que l'obligation qui leur est imposée de doter toutes les cuisines de leur immeuble de l'amenée du gaz et de l'électricité pour la cuisson viole la garantie de la propriété exprimée par l'art. 22ter. Selon cette disposition, l'expropriation et les restrictions de la propriété ne sont admissibles que si elles reposent sur une base légale et sont requises par l'intérêt public. En cas d'expropriation et de restriction de la propriété équivalant à l'expropriation, une juste indemnité est due. b) Une restriction de la propriété peut aussi consister dans une obligation de faire imposée au propriétaire. Une pareille obligation est susceptible de limiter l'exercice des droits du propriétaire d'une façon analogue à une interdiction (RO 97 I 795 consid. 1c). Il ne fait pas de doute que l'obligation imposée aux recourants constitue une restriction de cette nature. Elle doit donc obéir, pour être constitutionnelle, aux exigences précitées.</w:t>
      </w:r>
    </w:p>
    <w:p>
      <w:r>
        <w:rPr>
          <w:b/>
        </w:rPr>
        <w:t>E. 3</w:t>
      </w:r>
    </w:p>
    <w:p>
      <w:r>
        <w:t>a) Le Tribunal fédéral vérifie librement l'existence d'une base légale, lorsque l'atteinte à la propriété est particulièrement grave; dans les autres cas, son examen est limité à l'arbitraire (RO 97 I 795 consid. 3a ; 96 I 133 /34 et les références). Enl'espèce, on peut hésiter quant à la gravité de la restriction. Il résulte des pièces du dossier que l'installation du gaz dans toutes les cuisines comporte une dépense de l'ordre de 15/20 000 fr., seulement pour l'installation des conduites et sans compter le supplément - inévitable vraisemblablement - pour les travaux de maçonnerie. Il s'agit donc d'un montant non négligeable; mais, comparé au coût total de la construction, il ne représente qu'un pourcentage modeste (selon les recourants: 1%, selon la Commission: de 0,3 à 0,5% du coût total de la construction). Il est vrai que les recourants soutiennent, non sans quelque raison, que toute augmentation du coût de la construction doit être, dans une période d'inflation, taxée de grave, puisqu'elle se répercute sur les loyers et, partant, sur le coût de la vie. Mais, s'agissant ici de démontrer la gravité de l'atteinte subie par les propriétaires, cet argument n'est pas pertinent, puisqu'on admet que ceux-ci sont à même de trouver une compensation dans le prix de la location. Tout considéré, l'atteinte n'est pas particulièrement grave; la cognition du Tribunal fédéral est donc restreinte à l'arbitraire. BGE 98 Ia 584 S. 591 b) Selon l'art. 22ter Cst., les restrictions de la propriété doivent être édictées "par voie législative" ("auf dem Wege der Gesetzgebung", "in via legislativa"). Elles doivent avant tout se fonder sur une loi au sens matériel, c'est-à-dire une norme générale et abstraite fixant les droits et les obligations des administrés. En outre, il faut que cette règle soit éditée par un organe compétent selon les règles du droit public (RO 88 I 34/35, 176). S'il ne s'agit pas du constituant ou du législateur fédéral ou cantonal, mais d'une autorité exécutive, il faut que celle-ci puisse s'appuyer sur une délégation législative. D'après la jurisprudence constante du Tribunal fédéral - antérieure il est vrai à l'adoption de l'art. 22ter Cst. - la réserve de la loi n'exclut pas en soi - abstraction faite de dispositions plus sévères du droit cantonal (RO 87 I 454 ; 91 I 462 /3) - la délégation législative. Il n'y a pas de motif de donner à l'expression "par voie législative" utilisée à l'art. 22ter Cst. un sens plus restrictif que celui que la jurisprudence attribue en général à la réserve de la loi pour la limitation des autres libertés constitutionnelles, et d'exiger qu'en matière de propriété, la restriction soit contenue directement dans une loi au sens formel. Juger autrement conduirait à considérer comme anticonstitutionnelles toutes les restrictions de la propriété édictées sur la base d'une délégation législative avant l'entrée en vigueur de l'art. 22ter, ce que le constituant n'a certainement pas voulu. c) Avec raison, les recourants ne contestent pas que l'art. 42ter RCAT permet de leur imposer l'obligation de faire litigieuse. Par ailleurs, ils ne prétendent plus devant le Tribunal fédéral que, sur la base de cette disposition, une dispense devrait leur être accordée. Ils soutiennent qu'en édictant cette norme, le Conseil d'Etat est allé au-delà des pouvoirs que lui déléguait l'art. 102bis LCAT. Le grief d'absence de base légale se confond donc avec celui de violation du principe de la séparation des pouvoirs, que les recourants n'invoquent pas expressément. Cela ne change cependant rien à l'étendue de l'examen du Tribunal fédéral, puisqu'en cas de violation d'une disposition légale, ce grief est examiné sous l'angle de l'arbitraire (RO 64 I 319 ; 70 I 8 ; contra: RO 45 I 317 s.). d) Pour ce qui concerne le grief d'absence de base légale, le sort du recours dépend donc de la question de savoir si la délégation contenue à l'art. 102 LCAT peut être, sans arbitraire, interprétée dans le sens que lui ont donné le Conseil d'Etat et la BGE 98 Ia 584 S. 592 Commission. La délégation que cette disposition confère à l'exécutif couvre-t-elle aussi l'adoption de règles qui n'appartiennent plus au domaine de la police des constructions stricto sensu, mais qui - ainsi que l'autorité cantonale l'admet expressément - poursuivent des fins de politique et de planification économique, à savoir la diversification des sources d'approvisionnement en énergie? En matière de délégation législative, une certaine rigueur est indispensable. Sous peine de vider la réserve de la loi prévue à l'art. 22ter Cst. de sa substance, la loi formelle doit en tout cas définir la manière dont l'autorité délégataire devra user du pouvoir qui lui est délégué. La délégation législative n'est pas un blanc-seing. A tout le moins doit-elle indiquer approximativement l'objet, le but, l'étendue de la compétence accordée (cf. GRISEL, Droit administratif suisse, p. 84). Le principe qui est admis en matière fiscale selon une jurisprudence constante (cf. RO 91 I 176 consid.3, 254 consid.3 et référence ; 92 I 47 ; 97 I 344 ) doit être appliqué - mutatis mutandis - à propos de toutes les libertés fondamentales. L'art. 102bis LCAT autorise le Conseil d'Etat à arrêter les dispositions concernant l'installation de l'électricité, du gaz et du chauffage dans les constructions. Cette délégation, très générale, est placée dans le Titre VI de la loi, qui concerne les "Mesures générales de salubrité et d'hygiène". Par son texte et la systématique de la loi, la disposition n'autorise donc à première vue le Conseil d'Etat qu'à arrêter des dispositions de police des constructions concernant les mesures de sécurité, de salubrité et d'hygiène. Il résulte toutefois des travaux préparatoires (cf. l'exposé des motifs dans Bulletin des séances du Grand Conseil, automne 1965, p. 593 ss. et le rapport de la Commission, p. 603 ss.) que l'autorité exécutive et la Commission, en proposant au législatif cantonal l'introduction du nouvel art. 102bis LCAT, avaient bien en vue de créer une base permettant au Conseil d'Etat d'arrêter des dispositions de politique économique, afin de garantir la diversification des sources d'énergie. Au cours de la discussion, un député (cf. intervention Kratzer, Bull. p. 611 ss.) a même manifesté des doutes quant à la possibilité d'édicter des normes sortant du cadre de la police des constructions, et revêtant manifestement un caractère économique. BGE 98 Ia 584 S. 593 Selon une jurisprudence constante du Tribunal fédéral, les opinions exprimées au cours de la préparation d'une loi ne peuvent être prises en considération pour l'interprétation de celle-ci que si elles ont trouvé leur expression dans le texte. Elles ne peuvent pas prévaloir contre un texte clair, dans lequel on n'en trouve pas la moindre trace (RO 82 II 212, 84 II 103, 87 II 331, 86 IV 94, 92 I 308 consid. 4, 94 II 240, 95 I 510 c). En revanche, elles peuvent servir de moyen auxiliaire à la compréhension du texte légal (RO 92 I 309; 93 II 77 ). In casu, la délégation de pouvoir, qui est très large, n'a pas été outrepassée par le Conseil d'Etat, si l'on tient compte de la volonté marquée sans équivoque dans les travaux législatifs. Il reste cependant à déterminer si cette dernière peut entrer en considération. Le seul motif qui permette d'en douter est, comme il a été dit plus haut, l'intitulé apparemment clair du titre VI de la LCAT dans lequel se trouve inséré l'art. 102bis. Cette disposition n'a toutefois été introduite qu'après coup dans la loi, dont les divisions systématiques n'avaient pas été établies en fonction de règles édictées dans un but économique. Il s'ensuit que le législateur vaudois n'a marqué aucune intention particulière en insérant la nouvelle disposition à la place qui paraissait le mieux convenir. D'ailleurs, s'il n'a pas réussi à éviter toute équivoque, il a néanmoins pris la précaution de modifier le chapitre I du titre VI LCAT, en lui donnant, à l'imitation de la loi genevoise sur les constructions et installations diverses, du 25 mars 1961, qui a servi de modèle, l'intitulé "Distribution d'eau, d'énergie et chauffage". On ne saurait dans ces conditions considérer que le texte clair de la loi exclue nettement les mesures décrétées par le Conseil d'Etat. Celui-ci pouvait donc édicter l'art. 42 RCAT en respectant le cadre de la délégation tel qu'il avait été précisé par les travaux législatifs.</w:t>
      </w:r>
    </w:p>
    <w:p>
      <w:r>
        <w:rPr>
          <w:b/>
        </w:rPr>
        <w:t>E. 4</w:t>
      </w:r>
    </w:p>
    <w:p>
      <w:r>
        <w:t>a) Il ne fait pas de doute que l'approvisionnement du pays en énergie constitue une tâche d'intérêt public. Selon les études récentes de l'Office fédéral de l'économie énergétique ("Wasser und Energiewirtschaft" 1971, p. 211a ss.), il faut compter en Suisse, pour la période 1969/80, avec une augmentation de la consommation de l'ordre de 74%. Si cette augmentation est, en pourcentage, inférieure à celle constatée dans les douze années précédentes (1958/69: + 115%), en BGE 98 Ia 584 S. 594 quantités absolues - en raison de la différence des grandeurs de départ - elle représentera une quantité d'énergie supérieure d'environ 40% à l'augmentation correspondante de la période 1958/69. Selon cette étude, une modification importante de la structure de la consommation totale n'est pas envisagée. La part des produits pétroliers va encore augmenter, pour rejoindre environ 80% en l'année 1980. Quant à l'énergie électrique primaire (énergie hydraulique + énergie nucléaire), elle devrait demeurer pratiquement stationnaire (15% de la consommation totale). Une diminution ultérieure, en chiffres relatifs et absolus, est envisagée pour le charbon et le bois, tandis que le gaz naturel devrait à ce moment couvrir environ 3,5% de la consommation totale (les premières importations de gaz naturel ont eu lieu en 1969, cf. op.cit., p. 255 et Table IX de l'annexe). Pour ce qui concerne l'énergie électrique, selon l'étude précitée, la production nationale devrait en général satisfaire la demande (cf. les tables aux pages 260 et 261: pour l'hiver 74/75 seulement, à supposer qu'il soit hydrologiquement mauvais, un excédent d'importation est prévu; en revanche, pour l'hiver 79/80, un excédent destiné à l'exportation est espéré même dans l'hypothèse d'une extrême carence des précipitations). b) On manque encore de données à propos de la question de savoir s'il existe actuellement une répartition optimale des secteurs d'utilisation de l'électricité et du gaz: ainsi qu'il ressort du rapport du Conseil fédéral sur sa gestion en 1971 (p. 252), le Département compétent a chargé la Section de l'énergie de la Commission fédérale de l'économie hydraulique et énergétique d'entreprendre une étude à ce sujet. On doit toutefois admettre que la diversification des agents énergétiques, tendant à garantir une pluralité des sources d'approvisionnement, de provenances aussi diverses que possible et acheminées vers la Suisse par des voies et moyens de transports divers, constitue une tâche d'intérêt public national (cf. allocution du conseiller fédéral Bonvin du 25 septembre 1970 à l'occasion du 75e anniversaire de la fondation de l'Union des centrales suisses d'électricité, p. 9 ss.; Exposé sur la politique énergétique de la Suisse, établi en vue de son examen par le Comité de l'énergie de l'OCDE; sur le problème de l'utilisation du gaz naturel, la conférence de M. H.R. Siegrist, directeur de l'Office fédéral de l'économie énergétique, du 19 septembre 1969). BGE 98 Ia 584 S. 595 On pourrait se demander si une pareille tâche est susceptible d'être résolue par des mesures prises sur le seulplan cantonal, ou si elle n'exigerait pas encore l'adoption de mesures sur le plan fédéral. Cette question, qui relève de l'opportunité politique, ne devrait toutefois être examinée que si le but poursuivi par le législateur vaudois ou les moyens imaginés pour l'atteindre apparaissaient d'emblée comme déraisonnables. Tel n'est pas le cas. L'autorité cantonale part en effet de l'idée que l'obligation imposée au propriétaire-constructeur d'amener le gaz et l'électricité dans toutes les cuisines des bâtiments nouveaux ou rénovés tend à créer les conditions nécessaires à garantir le libre choix du consommateur, choix qu'elle n'entend pas influencer. Par consommateur, elle entend évidemment le locataire: il n'y aurait aucun sens à imposer l'amenée du gaz à un propriétaire, qui déclarerait ne pas en vouloir. Certes, le libre choix du locataire à propos de l'énergie de cuisson n'existe que dans la mesure où le bailleur le lui garantit: avec raison, l'autorité cantonale ne prétend pas qu'elle pourrait empêcher le bailleur d'imposer, par le contrat de bail, l'utilisation exclusive de l'électricité, surtout dans le cas où il a déjà équipé son bâtiment d'une installation complète pour la cuisson à l'électricité. Mais un immeuble locatif, construit pour plusieurs dizaines d'années, change en principe plusieurs fois de propriétaires et chacun de ceux-ci peut varier dans son attitude à l'égard des sources d'énergie.</w:t>
      </w:r>
    </w:p>
    <w:p>
      <w:r>
        <w:rPr>
          <w:b/>
        </w:rPr>
        <w:t>E. 5</w:t>
      </w:r>
    </w:p>
    <w:p>
      <w:r>
        <w:t>Il n'est pas nécessaire d'examiner la question de la juste indemnité. En effet, dès lors que l'art. 22ter al. 3 Cst. garantit celle-ci expressément en cas de restriction à la propriété équivalent à une expropriation, la faculté pour le lésé d'obtenir une indemnité ne constitue plus une condition de constitutionnalité, mais seulement la conséquence nécessaire de l'atteinte à la propriété. Il appartiendra donc aux recourants de faire valoir leurs droits le cas échéant.</w:t>
      </w:r>
    </w:p>
    <w:p>
      <w:r>
        <w:rPr>
          <w:b/>
        </w:rPr>
        <w:t>E. 6</w:t>
      </w:r>
    </w:p>
    <w:p>
      <w:r>
        <w:t>Les recourants enfin n'allèguent rien qui permette de déceler en quoi l'art. 42ter RCAT aurait été appliqué dans leur cas de façon arbitraire ou discriminatoire; ils ne prétendent même plus en instance fédérale qu'une dérogation aurait dû leur être accordée. On ne voit dès lors pas en quoi ils pourraient se plaindre d'une inégalité de traitement au sens de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